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1C" w:rsidRPr="00566261" w:rsidRDefault="00566261" w:rsidP="0044464A">
      <w:pPr>
        <w:spacing w:line="480" w:lineRule="auto"/>
        <w:jc w:val="center"/>
        <w:rPr>
          <w:rFonts w:ascii="Times New Roman" w:hAnsi="Times New Roman" w:cs="Times New Roman"/>
          <w:sz w:val="24"/>
          <w:szCs w:val="24"/>
        </w:rPr>
      </w:pPr>
      <w:bookmarkStart w:id="0" w:name="_GoBack"/>
      <w:r w:rsidRPr="00566261">
        <w:rPr>
          <w:rFonts w:ascii="Times New Roman" w:hAnsi="Times New Roman" w:cs="Times New Roman"/>
          <w:sz w:val="24"/>
          <w:szCs w:val="24"/>
        </w:rPr>
        <w:t>Assignment 3: Demand and Supply</w:t>
      </w:r>
    </w:p>
    <w:bookmarkEnd w:id="0"/>
    <w:p w:rsidR="0010313D" w:rsidRPr="00566261" w:rsidRDefault="0010313D" w:rsidP="0010313D">
      <w:pPr>
        <w:rPr>
          <w:rFonts w:ascii="Times New Roman" w:hAnsi="Times New Roman" w:cs="Times New Roman"/>
          <w:sz w:val="24"/>
          <w:szCs w:val="24"/>
          <w:lang w:val="en-ZA"/>
        </w:rPr>
      </w:pPr>
      <w:r w:rsidRPr="00566261">
        <w:rPr>
          <w:rFonts w:ascii="Times New Roman" w:hAnsi="Times New Roman" w:cs="Times New Roman"/>
          <w:noProof/>
          <w:sz w:val="24"/>
          <w:szCs w:val="24"/>
          <w:lang w:val="en-US"/>
        </w:rPr>
        <w:drawing>
          <wp:inline distT="0" distB="0" distL="0" distR="0" wp14:anchorId="64D58397" wp14:editId="4A94F0E1">
            <wp:extent cx="5731510" cy="3588385"/>
            <wp:effectExtent l="57150" t="0" r="59690" b="1073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1A8B" w:rsidRPr="00566261" w:rsidRDefault="002A2CDD" w:rsidP="00F7193E">
      <w:pPr>
        <w:spacing w:after="0" w:line="480" w:lineRule="auto"/>
        <w:ind w:firstLine="720"/>
        <w:contextualSpacing/>
        <w:jc w:val="both"/>
        <w:rPr>
          <w:rFonts w:ascii="Times New Roman" w:hAnsi="Times New Roman" w:cs="Times New Roman"/>
          <w:sz w:val="24"/>
          <w:szCs w:val="24"/>
          <w:lang w:val="en-ZA"/>
        </w:rPr>
      </w:pPr>
      <w:r w:rsidRPr="00566261">
        <w:rPr>
          <w:rFonts w:ascii="Times New Roman" w:hAnsi="Times New Roman" w:cs="Times New Roman"/>
          <w:sz w:val="24"/>
          <w:szCs w:val="24"/>
          <w:lang w:val="en-ZA"/>
        </w:rPr>
        <w:t>The law of demand states that an increase in market prices result in lower quantities demanded while a decrease in the prices result in an increase in the quantities demanded. On the contrast, the law of supply indicates that an increase in price results in an increase in quant</w:t>
      </w:r>
      <w:r w:rsidR="00F7193E">
        <w:rPr>
          <w:rFonts w:ascii="Times New Roman" w:hAnsi="Times New Roman" w:cs="Times New Roman"/>
          <w:sz w:val="24"/>
          <w:szCs w:val="24"/>
          <w:lang w:val="en-ZA"/>
        </w:rPr>
        <w:t>ities supplied and a decrease xxx</w:t>
      </w:r>
      <w:r w:rsidRPr="00566261">
        <w:rPr>
          <w:rFonts w:ascii="Times New Roman" w:hAnsi="Times New Roman" w:cs="Times New Roman"/>
          <w:sz w:val="24"/>
          <w:szCs w:val="24"/>
          <w:lang w:val="en-ZA"/>
        </w:rPr>
        <w:t xml:space="preserve"> in lower quantities</w:t>
      </w:r>
      <w:r w:rsidR="00753E62">
        <w:rPr>
          <w:rFonts w:ascii="Times New Roman" w:hAnsi="Times New Roman" w:cs="Times New Roman"/>
          <w:sz w:val="24"/>
          <w:szCs w:val="24"/>
          <w:lang w:val="en-ZA"/>
        </w:rPr>
        <w:t xml:space="preserve"> (</w:t>
      </w:r>
      <w:r w:rsidR="00753E62">
        <w:rPr>
          <w:rFonts w:ascii="Times New Roman" w:eastAsia="Times New Roman" w:hAnsi="Times New Roman" w:cs="Times New Roman"/>
          <w:sz w:val="24"/>
          <w:szCs w:val="24"/>
          <w:lang w:val="en-US"/>
        </w:rPr>
        <w:t xml:space="preserve">Bernanke, </w:t>
      </w:r>
      <w:r w:rsidR="00753E62" w:rsidRPr="00CC0076">
        <w:rPr>
          <w:rFonts w:ascii="Times New Roman" w:eastAsia="Times New Roman" w:hAnsi="Times New Roman" w:cs="Times New Roman"/>
          <w:sz w:val="24"/>
          <w:szCs w:val="24"/>
          <w:lang w:val="en-US"/>
        </w:rPr>
        <w:t>Ant</w:t>
      </w:r>
      <w:r w:rsidR="00753E62">
        <w:rPr>
          <w:rFonts w:ascii="Times New Roman" w:eastAsia="Times New Roman" w:hAnsi="Times New Roman" w:cs="Times New Roman"/>
          <w:sz w:val="24"/>
          <w:szCs w:val="24"/>
          <w:lang w:val="en-US"/>
        </w:rPr>
        <w:t>onovics &amp; Frank, 2015)</w:t>
      </w:r>
      <w:r w:rsidRPr="00566261">
        <w:rPr>
          <w:rFonts w:ascii="Times New Roman" w:hAnsi="Times New Roman" w:cs="Times New Roman"/>
          <w:sz w:val="24"/>
          <w:szCs w:val="24"/>
          <w:lang w:val="en-ZA"/>
        </w:rPr>
        <w:t xml:space="preserve">. The above graph illustrates the laws of demand and supply in a single market. </w:t>
      </w:r>
      <w:r w:rsidR="00C355E0" w:rsidRPr="00566261">
        <w:rPr>
          <w:rFonts w:ascii="Times New Roman" w:hAnsi="Times New Roman" w:cs="Times New Roman"/>
          <w:sz w:val="24"/>
          <w:szCs w:val="24"/>
          <w:lang w:val="en-ZA"/>
        </w:rPr>
        <w:t xml:space="preserve">From the </w:t>
      </w:r>
      <w:r w:rsidR="00F7193E">
        <w:rPr>
          <w:rFonts w:ascii="Times New Roman" w:hAnsi="Times New Roman" w:cs="Times New Roman"/>
          <w:sz w:val="24"/>
          <w:szCs w:val="24"/>
          <w:lang w:val="en-ZA"/>
        </w:rPr>
        <w:t>xxx</w:t>
      </w:r>
      <w:r w:rsidR="00C355E0" w:rsidRPr="00566261">
        <w:rPr>
          <w:rFonts w:ascii="Times New Roman" w:hAnsi="Times New Roman" w:cs="Times New Roman"/>
          <w:sz w:val="24"/>
          <w:szCs w:val="24"/>
          <w:lang w:val="en-ZA"/>
        </w:rPr>
        <w:t xml:space="preserve"> pri</w:t>
      </w:r>
      <w:r w:rsidRPr="00566261">
        <w:rPr>
          <w:rFonts w:ascii="Times New Roman" w:hAnsi="Times New Roman" w:cs="Times New Roman"/>
          <w:sz w:val="24"/>
          <w:szCs w:val="24"/>
          <w:lang w:val="en-ZA"/>
        </w:rPr>
        <w:t>ces increase, the demand for</w:t>
      </w:r>
      <w:r w:rsidR="00F7193E">
        <w:rPr>
          <w:rFonts w:ascii="Times New Roman" w:hAnsi="Times New Roman" w:cs="Times New Roman"/>
          <w:sz w:val="24"/>
          <w:szCs w:val="24"/>
          <w:lang w:val="en-ZA"/>
        </w:rPr>
        <w:t xml:space="preserve"> xxx </w:t>
      </w:r>
      <w:r w:rsidRPr="00566261">
        <w:rPr>
          <w:rFonts w:ascii="Times New Roman" w:hAnsi="Times New Roman" w:cs="Times New Roman"/>
          <w:sz w:val="24"/>
          <w:szCs w:val="24"/>
          <w:lang w:val="en-ZA"/>
        </w:rPr>
        <w:t>demand for E-B</w:t>
      </w:r>
      <w:r w:rsidR="00C355E0" w:rsidRPr="00566261">
        <w:rPr>
          <w:rFonts w:ascii="Times New Roman" w:hAnsi="Times New Roman" w:cs="Times New Roman"/>
          <w:sz w:val="24"/>
          <w:szCs w:val="24"/>
          <w:lang w:val="en-ZA"/>
        </w:rPr>
        <w:t>ooks is highest when the price reduces to $2 and lowest when the price</w:t>
      </w:r>
      <w:r w:rsidR="00F7193E">
        <w:rPr>
          <w:rFonts w:ascii="Times New Roman" w:hAnsi="Times New Roman" w:cs="Times New Roman"/>
          <w:sz w:val="24"/>
          <w:szCs w:val="24"/>
          <w:lang w:val="en-ZA"/>
        </w:rPr>
        <w:t xml:space="preserve"> xxx </w:t>
      </w:r>
      <w:r w:rsidR="00C355E0" w:rsidRPr="00566261">
        <w:rPr>
          <w:rFonts w:ascii="Times New Roman" w:hAnsi="Times New Roman" w:cs="Times New Roman"/>
          <w:sz w:val="24"/>
          <w:szCs w:val="24"/>
          <w:lang w:val="en-ZA"/>
        </w:rPr>
        <w:t>the supply of the books is highest when the price increases to $18 and lowest when the</w:t>
      </w:r>
      <w:r w:rsidR="00F7193E">
        <w:rPr>
          <w:rFonts w:ascii="Times New Roman" w:hAnsi="Times New Roman" w:cs="Times New Roman"/>
          <w:sz w:val="24"/>
          <w:szCs w:val="24"/>
          <w:lang w:val="en-ZA"/>
        </w:rPr>
        <w:t xml:space="preserve"> xxx </w:t>
      </w:r>
      <w:r w:rsidR="00C355E0" w:rsidRPr="00566261">
        <w:rPr>
          <w:rFonts w:ascii="Times New Roman" w:hAnsi="Times New Roman" w:cs="Times New Roman"/>
          <w:sz w:val="24"/>
          <w:szCs w:val="24"/>
          <w:lang w:val="en-ZA"/>
        </w:rPr>
        <w:t xml:space="preserve"> postulates the indirect </w:t>
      </w:r>
      <w:r w:rsidR="00F7193E">
        <w:rPr>
          <w:rFonts w:ascii="Times New Roman" w:hAnsi="Times New Roman" w:cs="Times New Roman"/>
          <w:sz w:val="24"/>
          <w:szCs w:val="24"/>
          <w:lang w:val="en-ZA"/>
        </w:rPr>
        <w:t>xxx</w:t>
      </w:r>
      <w:r w:rsidR="00C355E0" w:rsidRPr="00566261">
        <w:rPr>
          <w:rFonts w:ascii="Times New Roman" w:hAnsi="Times New Roman" w:cs="Times New Roman"/>
          <w:sz w:val="24"/>
          <w:szCs w:val="24"/>
          <w:lang w:val="en-ZA"/>
        </w:rPr>
        <w:t xml:space="preserve"> demand and</w:t>
      </w:r>
      <w:r w:rsidR="00F7193E">
        <w:rPr>
          <w:rFonts w:ascii="Times New Roman" w:hAnsi="Times New Roman" w:cs="Times New Roman"/>
          <w:sz w:val="24"/>
          <w:szCs w:val="24"/>
          <w:lang w:val="en-ZA"/>
        </w:rPr>
        <w:t xml:space="preserve"> xxx</w:t>
      </w:r>
      <w:r w:rsidR="00AC1380" w:rsidRPr="00566261">
        <w:rPr>
          <w:rFonts w:ascii="Times New Roman" w:hAnsi="Times New Roman" w:cs="Times New Roman"/>
          <w:sz w:val="24"/>
          <w:szCs w:val="24"/>
          <w:lang w:val="en-ZA"/>
        </w:rPr>
        <w:t xml:space="preserve"> the quantity of goods demanded is equal to the quantity</w:t>
      </w:r>
      <w:r w:rsidR="00F7193E">
        <w:rPr>
          <w:rFonts w:ascii="Times New Roman" w:hAnsi="Times New Roman" w:cs="Times New Roman"/>
          <w:sz w:val="24"/>
          <w:szCs w:val="24"/>
          <w:lang w:val="en-ZA"/>
        </w:rPr>
        <w:t xml:space="preserve"> xxx</w:t>
      </w:r>
      <w:r w:rsidR="00AC1380" w:rsidRPr="00566261">
        <w:rPr>
          <w:rFonts w:ascii="Times New Roman" w:hAnsi="Times New Roman" w:cs="Times New Roman"/>
          <w:sz w:val="24"/>
          <w:szCs w:val="24"/>
          <w:lang w:val="en-ZA"/>
        </w:rPr>
        <w:t xml:space="preserve"> point is</w:t>
      </w:r>
      <w:r w:rsidR="008860B0" w:rsidRPr="00566261">
        <w:rPr>
          <w:rFonts w:ascii="Times New Roman" w:hAnsi="Times New Roman" w:cs="Times New Roman"/>
          <w:sz w:val="24"/>
          <w:szCs w:val="24"/>
          <w:lang w:val="en-ZA"/>
        </w:rPr>
        <w:t xml:space="preserve"> referred to as the equilibrium and occurs at the intersection of the supply and</w:t>
      </w:r>
      <w:r w:rsidR="00F7193E">
        <w:rPr>
          <w:rFonts w:ascii="Times New Roman" w:hAnsi="Times New Roman" w:cs="Times New Roman"/>
          <w:sz w:val="24"/>
          <w:szCs w:val="24"/>
          <w:lang w:val="en-ZA"/>
        </w:rPr>
        <w:t xml:space="preserve"> xxx</w:t>
      </w:r>
      <w:r w:rsidR="00AC1380" w:rsidRPr="00566261">
        <w:rPr>
          <w:rFonts w:ascii="Times New Roman" w:hAnsi="Times New Roman" w:cs="Times New Roman"/>
          <w:sz w:val="24"/>
          <w:szCs w:val="24"/>
          <w:lang w:val="en-ZA"/>
        </w:rPr>
        <w:t xml:space="preserve"> equilibrium price</w:t>
      </w:r>
      <w:r w:rsidR="00E45BC9" w:rsidRPr="00566261">
        <w:rPr>
          <w:rFonts w:ascii="Times New Roman" w:hAnsi="Times New Roman" w:cs="Times New Roman"/>
          <w:sz w:val="24"/>
          <w:szCs w:val="24"/>
          <w:lang w:val="en-ZA"/>
        </w:rPr>
        <w:t xml:space="preserve"> as per the above graph is $10 </w:t>
      </w:r>
      <w:r w:rsidR="00AC1380" w:rsidRPr="00566261">
        <w:rPr>
          <w:rFonts w:ascii="Times New Roman" w:hAnsi="Times New Roman" w:cs="Times New Roman"/>
          <w:sz w:val="24"/>
          <w:szCs w:val="24"/>
          <w:lang w:val="en-ZA"/>
        </w:rPr>
        <w:t>while the</w:t>
      </w:r>
      <w:r w:rsidR="005E1A8B" w:rsidRPr="00566261">
        <w:rPr>
          <w:rFonts w:ascii="Times New Roman" w:hAnsi="Times New Roman" w:cs="Times New Roman"/>
          <w:sz w:val="24"/>
          <w:szCs w:val="24"/>
          <w:lang w:val="en-ZA"/>
        </w:rPr>
        <w:t xml:space="preserve"> equilibrium quantity </w:t>
      </w:r>
      <w:r w:rsidR="00F7193E">
        <w:rPr>
          <w:rFonts w:ascii="Times New Roman" w:hAnsi="Times New Roman" w:cs="Times New Roman"/>
          <w:sz w:val="24"/>
          <w:szCs w:val="24"/>
          <w:lang w:val="en-ZA"/>
        </w:rPr>
        <w:t>…</w:t>
      </w:r>
      <w:r w:rsidR="00AC1380" w:rsidRPr="00566261">
        <w:rPr>
          <w:rFonts w:ascii="Times New Roman" w:hAnsi="Times New Roman" w:cs="Times New Roman"/>
          <w:sz w:val="24"/>
          <w:szCs w:val="24"/>
          <w:lang w:val="en-ZA"/>
        </w:rPr>
        <w:t xml:space="preserve"> efficient allocation of resources </w:t>
      </w:r>
      <w:r w:rsidR="00F7193E">
        <w:rPr>
          <w:rFonts w:ascii="Times New Roman" w:hAnsi="Times New Roman" w:cs="Times New Roman"/>
          <w:sz w:val="24"/>
          <w:szCs w:val="24"/>
          <w:lang w:val="en-ZA"/>
        </w:rPr>
        <w:t>xxx</w:t>
      </w:r>
      <w:r w:rsidR="00AC1380" w:rsidRPr="00566261">
        <w:rPr>
          <w:rFonts w:ascii="Times New Roman" w:hAnsi="Times New Roman" w:cs="Times New Roman"/>
          <w:sz w:val="24"/>
          <w:szCs w:val="24"/>
          <w:lang w:val="en-ZA"/>
        </w:rPr>
        <w:t xml:space="preserve"> supplied </w:t>
      </w:r>
      <w:r w:rsidR="005E1A8B" w:rsidRPr="00566261">
        <w:rPr>
          <w:rFonts w:ascii="Times New Roman" w:hAnsi="Times New Roman" w:cs="Times New Roman"/>
          <w:sz w:val="24"/>
          <w:szCs w:val="24"/>
          <w:lang w:val="en-ZA"/>
        </w:rPr>
        <w:t>are</w:t>
      </w:r>
      <w:r w:rsidR="00AC1380" w:rsidRPr="00566261">
        <w:rPr>
          <w:rFonts w:ascii="Times New Roman" w:hAnsi="Times New Roman" w:cs="Times New Roman"/>
          <w:sz w:val="24"/>
          <w:szCs w:val="24"/>
          <w:lang w:val="en-ZA"/>
        </w:rPr>
        <w:t xml:space="preserve"> demanded and sold to buyer</w:t>
      </w:r>
      <w:r w:rsidR="005E1A8B" w:rsidRPr="00566261">
        <w:rPr>
          <w:rFonts w:ascii="Times New Roman" w:hAnsi="Times New Roman" w:cs="Times New Roman"/>
          <w:sz w:val="24"/>
          <w:szCs w:val="24"/>
          <w:lang w:val="en-ZA"/>
        </w:rPr>
        <w:t>s</w:t>
      </w:r>
      <w:r w:rsidR="00AC1380" w:rsidRPr="00566261">
        <w:rPr>
          <w:rFonts w:ascii="Times New Roman" w:hAnsi="Times New Roman" w:cs="Times New Roman"/>
          <w:sz w:val="24"/>
          <w:szCs w:val="24"/>
          <w:lang w:val="en-ZA"/>
        </w:rPr>
        <w:t xml:space="preserve"> at the</w:t>
      </w:r>
      <w:r w:rsidR="00F7193E">
        <w:rPr>
          <w:rFonts w:ascii="Times New Roman" w:hAnsi="Times New Roman" w:cs="Times New Roman"/>
          <w:sz w:val="24"/>
          <w:szCs w:val="24"/>
          <w:lang w:val="en-ZA"/>
        </w:rPr>
        <w:t>…</w:t>
      </w:r>
      <w:r w:rsidR="00E45BC9" w:rsidRPr="00566261">
        <w:rPr>
          <w:rFonts w:ascii="Times New Roman" w:hAnsi="Times New Roman" w:cs="Times New Roman"/>
          <w:sz w:val="24"/>
          <w:szCs w:val="24"/>
          <w:lang w:val="en-ZA"/>
        </w:rPr>
        <w:t xml:space="preserve"> by the government at $12 would result to excess </w:t>
      </w:r>
      <w:r w:rsidR="00F7193E">
        <w:rPr>
          <w:rFonts w:ascii="Times New Roman" w:hAnsi="Times New Roman" w:cs="Times New Roman"/>
          <w:sz w:val="24"/>
          <w:szCs w:val="24"/>
          <w:lang w:val="en-ZA"/>
        </w:rPr>
        <w:t>…</w:t>
      </w:r>
      <w:r w:rsidR="005269BB" w:rsidRPr="00566261">
        <w:rPr>
          <w:rFonts w:ascii="Times New Roman" w:hAnsi="Times New Roman" w:cs="Times New Roman"/>
          <w:sz w:val="24"/>
          <w:szCs w:val="24"/>
          <w:lang w:val="en-ZA"/>
        </w:rPr>
        <w:t xml:space="preserve"> is higher than the equilibrium </w:t>
      </w:r>
      <w:r w:rsidR="00F7193E">
        <w:rPr>
          <w:rFonts w:ascii="Times New Roman" w:hAnsi="Times New Roman" w:cs="Times New Roman"/>
          <w:sz w:val="24"/>
          <w:szCs w:val="24"/>
          <w:lang w:val="en-ZA"/>
        </w:rPr>
        <w:t>…</w:t>
      </w:r>
      <w:r w:rsidR="005269BB" w:rsidRPr="00566261">
        <w:rPr>
          <w:rFonts w:ascii="Times New Roman" w:hAnsi="Times New Roman" w:cs="Times New Roman"/>
          <w:sz w:val="24"/>
          <w:szCs w:val="24"/>
          <w:lang w:val="en-ZA"/>
        </w:rPr>
        <w:t xml:space="preserve"> suppliers will have an incentive to supply more e-books, most consumers will </w:t>
      </w:r>
      <w:r w:rsidR="005269BB" w:rsidRPr="00566261">
        <w:rPr>
          <w:rFonts w:ascii="Times New Roman" w:hAnsi="Times New Roman" w:cs="Times New Roman"/>
          <w:sz w:val="24"/>
          <w:szCs w:val="24"/>
          <w:lang w:val="en-ZA"/>
        </w:rPr>
        <w:lastRenderedPageBreak/>
        <w:t xml:space="preserve">be locked away </w:t>
      </w:r>
      <w:proofErr w:type="spellStart"/>
      <w:r w:rsidR="00F7193E">
        <w:rPr>
          <w:rFonts w:ascii="Times New Roman" w:hAnsi="Times New Roman" w:cs="Times New Roman"/>
          <w:sz w:val="24"/>
          <w:szCs w:val="24"/>
          <w:lang w:val="en-ZA"/>
        </w:rPr>
        <w:t>xxxx</w:t>
      </w:r>
      <w:proofErr w:type="spellEnd"/>
      <w:r w:rsidR="005269BB" w:rsidRPr="00566261">
        <w:rPr>
          <w:rFonts w:ascii="Times New Roman" w:hAnsi="Times New Roman" w:cs="Times New Roman"/>
          <w:sz w:val="24"/>
          <w:szCs w:val="24"/>
          <w:lang w:val="en-ZA"/>
        </w:rPr>
        <w:t xml:space="preserve"> the e-books due to the </w:t>
      </w:r>
      <w:proofErr w:type="spellStart"/>
      <w:r w:rsidR="00F7193E">
        <w:rPr>
          <w:rFonts w:ascii="Times New Roman" w:hAnsi="Times New Roman" w:cs="Times New Roman"/>
          <w:sz w:val="24"/>
          <w:szCs w:val="24"/>
          <w:lang w:val="en-ZA"/>
        </w:rPr>
        <w:t>xxxx</w:t>
      </w:r>
      <w:proofErr w:type="spellEnd"/>
      <w:r w:rsidR="00F7193E">
        <w:rPr>
          <w:rFonts w:ascii="Times New Roman" w:hAnsi="Times New Roman" w:cs="Times New Roman"/>
          <w:sz w:val="24"/>
          <w:szCs w:val="24"/>
          <w:lang w:val="en-ZA"/>
        </w:rPr>
        <w:t xml:space="preserve"> </w:t>
      </w:r>
      <w:r w:rsidR="005269BB" w:rsidRPr="00566261">
        <w:rPr>
          <w:rFonts w:ascii="Times New Roman" w:hAnsi="Times New Roman" w:cs="Times New Roman"/>
          <w:sz w:val="24"/>
          <w:szCs w:val="24"/>
          <w:lang w:val="en-ZA"/>
        </w:rPr>
        <w:t xml:space="preserve">the government imposes a price ceiling of $6, the demand would </w:t>
      </w:r>
      <w:proofErr w:type="spellStart"/>
      <w:r w:rsidR="00F7193E">
        <w:rPr>
          <w:rFonts w:ascii="Times New Roman" w:hAnsi="Times New Roman" w:cs="Times New Roman"/>
          <w:sz w:val="24"/>
          <w:szCs w:val="24"/>
          <w:lang w:val="en-ZA"/>
        </w:rPr>
        <w:t>xxxx</w:t>
      </w:r>
      <w:proofErr w:type="spellEnd"/>
      <w:r w:rsidR="005269BB" w:rsidRPr="00566261">
        <w:rPr>
          <w:rFonts w:ascii="Times New Roman" w:hAnsi="Times New Roman" w:cs="Times New Roman"/>
          <w:sz w:val="24"/>
          <w:szCs w:val="24"/>
          <w:lang w:val="en-ZA"/>
        </w:rPr>
        <w:t xml:space="preserve"> would not be willing to supply the books at such a lower </w:t>
      </w:r>
      <w:r w:rsidR="00BF7A54" w:rsidRPr="00566261">
        <w:rPr>
          <w:rFonts w:ascii="Times New Roman" w:hAnsi="Times New Roman" w:cs="Times New Roman"/>
          <w:sz w:val="24"/>
          <w:szCs w:val="24"/>
          <w:lang w:val="en-ZA"/>
        </w:rPr>
        <w:t>price</w:t>
      </w:r>
      <w:r w:rsidR="005269BB" w:rsidRPr="00566261">
        <w:rPr>
          <w:rFonts w:ascii="Times New Roman" w:hAnsi="Times New Roman" w:cs="Times New Roman"/>
          <w:sz w:val="24"/>
          <w:szCs w:val="24"/>
          <w:lang w:val="en-ZA"/>
        </w:rPr>
        <w:t xml:space="preserve">, consumers on the other hand would demand more books since they are </w:t>
      </w:r>
      <w:proofErr w:type="spellStart"/>
      <w:r w:rsidR="00F7193E">
        <w:rPr>
          <w:rFonts w:ascii="Times New Roman" w:hAnsi="Times New Roman" w:cs="Times New Roman"/>
          <w:sz w:val="24"/>
          <w:szCs w:val="24"/>
          <w:lang w:val="en-ZA"/>
        </w:rPr>
        <w:t>xxxx</w:t>
      </w:r>
      <w:proofErr w:type="spellEnd"/>
      <w:r w:rsidR="00F7193E">
        <w:rPr>
          <w:rFonts w:ascii="Times New Roman" w:hAnsi="Times New Roman" w:cs="Times New Roman"/>
          <w:sz w:val="24"/>
          <w:szCs w:val="24"/>
          <w:lang w:val="en-ZA"/>
        </w:rPr>
        <w:t xml:space="preserve"> </w:t>
      </w:r>
      <w:r w:rsidR="00812B7D" w:rsidRPr="00566261">
        <w:rPr>
          <w:rFonts w:ascii="Times New Roman" w:hAnsi="Times New Roman" w:cs="Times New Roman"/>
          <w:sz w:val="24"/>
          <w:szCs w:val="24"/>
          <w:lang w:val="en-ZA"/>
        </w:rPr>
        <w:t xml:space="preserve">is a complement of the </w:t>
      </w:r>
      <w:proofErr w:type="spellStart"/>
      <w:r w:rsidR="00F7193E">
        <w:rPr>
          <w:rFonts w:ascii="Times New Roman" w:hAnsi="Times New Roman" w:cs="Times New Roman"/>
          <w:sz w:val="24"/>
          <w:szCs w:val="24"/>
          <w:lang w:val="en-ZA"/>
        </w:rPr>
        <w:t>xxxx</w:t>
      </w:r>
      <w:proofErr w:type="spellEnd"/>
      <w:r w:rsidR="005E1A8B" w:rsidRPr="00566261">
        <w:rPr>
          <w:rFonts w:ascii="Times New Roman" w:hAnsi="Times New Roman" w:cs="Times New Roman"/>
          <w:sz w:val="24"/>
          <w:szCs w:val="24"/>
          <w:lang w:val="en-ZA"/>
        </w:rPr>
        <w:t xml:space="preserve"> in the price of </w:t>
      </w:r>
      <w:r w:rsidRPr="00566261">
        <w:rPr>
          <w:rFonts w:ascii="Times New Roman" w:hAnsi="Times New Roman" w:cs="Times New Roman"/>
          <w:sz w:val="24"/>
          <w:szCs w:val="24"/>
          <w:lang w:val="en-ZA"/>
        </w:rPr>
        <w:t xml:space="preserve">a </w:t>
      </w:r>
      <w:r w:rsidR="005E1A8B" w:rsidRPr="00566261">
        <w:rPr>
          <w:rFonts w:ascii="Times New Roman" w:hAnsi="Times New Roman" w:cs="Times New Roman"/>
          <w:sz w:val="24"/>
          <w:szCs w:val="24"/>
          <w:lang w:val="en-ZA"/>
        </w:rPr>
        <w:t>c</w:t>
      </w:r>
      <w:r w:rsidR="00812B7D" w:rsidRPr="00566261">
        <w:rPr>
          <w:rFonts w:ascii="Times New Roman" w:hAnsi="Times New Roman" w:cs="Times New Roman"/>
          <w:sz w:val="24"/>
          <w:szCs w:val="24"/>
          <w:lang w:val="en-ZA"/>
        </w:rPr>
        <w:t xml:space="preserve">omplement </w:t>
      </w:r>
      <w:r w:rsidR="0044464A">
        <w:rPr>
          <w:rFonts w:ascii="Times New Roman" w:hAnsi="Times New Roman" w:cs="Times New Roman"/>
          <w:sz w:val="24"/>
          <w:szCs w:val="24"/>
          <w:lang w:val="en-ZA"/>
        </w:rPr>
        <w:t>xxx</w:t>
      </w:r>
      <w:r w:rsidR="00812B7D" w:rsidRPr="00566261">
        <w:rPr>
          <w:rFonts w:ascii="Times New Roman" w:hAnsi="Times New Roman" w:cs="Times New Roman"/>
          <w:sz w:val="24"/>
          <w:szCs w:val="24"/>
          <w:lang w:val="en-ZA"/>
        </w:rPr>
        <w:t xml:space="preserve"> shift of the demand curve as illustrated in the graph below. A decrease in the price of E- Reader by fifty percent would result</w:t>
      </w:r>
      <w:r w:rsidRPr="00566261">
        <w:rPr>
          <w:rFonts w:ascii="Times New Roman" w:hAnsi="Times New Roman" w:cs="Times New Roman"/>
          <w:sz w:val="24"/>
          <w:szCs w:val="24"/>
          <w:lang w:val="en-ZA"/>
        </w:rPr>
        <w:t xml:space="preserve"> in</w:t>
      </w:r>
      <w:r w:rsidR="00812B7D" w:rsidRPr="00566261">
        <w:rPr>
          <w:rFonts w:ascii="Times New Roman" w:hAnsi="Times New Roman" w:cs="Times New Roman"/>
          <w:sz w:val="24"/>
          <w:szCs w:val="24"/>
          <w:lang w:val="en-ZA"/>
        </w:rPr>
        <w:t xml:space="preserve"> </w:t>
      </w:r>
      <w:proofErr w:type="gramStart"/>
      <w:r w:rsidR="00F7193E">
        <w:rPr>
          <w:rFonts w:ascii="Times New Roman" w:hAnsi="Times New Roman" w:cs="Times New Roman"/>
          <w:sz w:val="24"/>
          <w:szCs w:val="24"/>
          <w:lang w:val="en-ZA"/>
        </w:rPr>
        <w:t xml:space="preserve">xxx </w:t>
      </w:r>
      <w:r w:rsidR="00812B7D" w:rsidRPr="00566261">
        <w:rPr>
          <w:rFonts w:ascii="Times New Roman" w:hAnsi="Times New Roman" w:cs="Times New Roman"/>
          <w:sz w:val="24"/>
          <w:szCs w:val="24"/>
          <w:lang w:val="en-ZA"/>
        </w:rPr>
        <w:t xml:space="preserve"> the</w:t>
      </w:r>
      <w:proofErr w:type="gramEnd"/>
      <w:r w:rsidR="00812B7D" w:rsidRPr="00566261">
        <w:rPr>
          <w:rFonts w:ascii="Times New Roman" w:hAnsi="Times New Roman" w:cs="Times New Roman"/>
          <w:sz w:val="24"/>
          <w:szCs w:val="24"/>
          <w:lang w:val="en-ZA"/>
        </w:rPr>
        <w:t xml:space="preserve"> buyers at the same price.</w:t>
      </w:r>
    </w:p>
    <w:p w:rsidR="0010313D" w:rsidRDefault="0010313D" w:rsidP="0010313D">
      <w:pPr>
        <w:rPr>
          <w:rFonts w:ascii="Times New Roman" w:hAnsi="Times New Roman" w:cs="Times New Roman"/>
          <w:sz w:val="24"/>
          <w:szCs w:val="24"/>
          <w:lang w:val="en-ZA"/>
        </w:rPr>
      </w:pPr>
      <w:r w:rsidRPr="00566261">
        <w:rPr>
          <w:rFonts w:ascii="Times New Roman" w:hAnsi="Times New Roman" w:cs="Times New Roman"/>
          <w:noProof/>
          <w:sz w:val="24"/>
          <w:szCs w:val="24"/>
          <w:lang w:val="en-US"/>
        </w:rPr>
        <w:drawing>
          <wp:inline distT="0" distB="0" distL="0" distR="0" wp14:anchorId="50F56496" wp14:editId="78062F36">
            <wp:extent cx="5731510" cy="3157220"/>
            <wp:effectExtent l="57150" t="0" r="59690" b="1193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35FD" w:rsidRDefault="00B735FD" w:rsidP="0010313D">
      <w:pPr>
        <w:rPr>
          <w:rFonts w:ascii="Times New Roman" w:hAnsi="Times New Roman" w:cs="Times New Roman"/>
          <w:sz w:val="24"/>
          <w:szCs w:val="24"/>
          <w:lang w:val="en-ZA"/>
        </w:rPr>
      </w:pPr>
    </w:p>
    <w:p w:rsidR="00B735FD" w:rsidRDefault="00B735FD" w:rsidP="0010313D">
      <w:pP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44464A" w:rsidRDefault="0044464A" w:rsidP="00E83F3E">
      <w:pPr>
        <w:spacing w:line="480" w:lineRule="auto"/>
        <w:jc w:val="center"/>
        <w:rPr>
          <w:rFonts w:ascii="Times New Roman" w:hAnsi="Times New Roman" w:cs="Times New Roman"/>
          <w:sz w:val="24"/>
          <w:szCs w:val="24"/>
          <w:lang w:val="en-ZA"/>
        </w:rPr>
      </w:pPr>
    </w:p>
    <w:p w:rsidR="00B735FD" w:rsidRPr="0044464A" w:rsidRDefault="00B735FD" w:rsidP="00E83F3E">
      <w:pPr>
        <w:spacing w:line="480" w:lineRule="auto"/>
        <w:jc w:val="center"/>
        <w:rPr>
          <w:rFonts w:ascii="Times New Roman" w:hAnsi="Times New Roman" w:cs="Times New Roman"/>
          <w:b/>
          <w:sz w:val="24"/>
          <w:szCs w:val="24"/>
          <w:lang w:val="en-ZA"/>
        </w:rPr>
      </w:pPr>
      <w:r w:rsidRPr="0044464A">
        <w:rPr>
          <w:rFonts w:ascii="Times New Roman" w:hAnsi="Times New Roman" w:cs="Times New Roman"/>
          <w:b/>
          <w:sz w:val="24"/>
          <w:szCs w:val="24"/>
          <w:lang w:val="en-ZA"/>
        </w:rPr>
        <w:lastRenderedPageBreak/>
        <w:t>References</w:t>
      </w:r>
    </w:p>
    <w:p w:rsidR="00CC0076" w:rsidRPr="00CC0076" w:rsidRDefault="00CC0076" w:rsidP="00E83F3E">
      <w:pPr>
        <w:spacing w:after="0" w:line="480" w:lineRule="auto"/>
        <w:ind w:left="720" w:hanging="720"/>
        <w:rPr>
          <w:rFonts w:ascii="Times New Roman" w:eastAsia="Times New Roman" w:hAnsi="Times New Roman" w:cs="Times New Roman"/>
          <w:sz w:val="24"/>
          <w:szCs w:val="24"/>
          <w:lang w:val="en-US"/>
        </w:rPr>
      </w:pPr>
      <w:r w:rsidRPr="00CC0076">
        <w:rPr>
          <w:rFonts w:ascii="Times New Roman" w:eastAsia="Times New Roman" w:hAnsi="Times New Roman" w:cs="Times New Roman"/>
          <w:sz w:val="24"/>
          <w:szCs w:val="24"/>
          <w:lang w:val="en-US"/>
        </w:rPr>
        <w:t xml:space="preserve">Bernanke, B., Antonovics, K., &amp; Frank, R. (2015). </w:t>
      </w:r>
      <w:r w:rsidRPr="00CC0076">
        <w:rPr>
          <w:rFonts w:ascii="Times New Roman" w:eastAsia="Times New Roman" w:hAnsi="Times New Roman" w:cs="Times New Roman"/>
          <w:iCs/>
          <w:sz w:val="24"/>
          <w:szCs w:val="24"/>
          <w:lang w:val="en-US"/>
        </w:rPr>
        <w:t>Principles of macroeconomics</w:t>
      </w:r>
      <w:r w:rsidRPr="00CC0076">
        <w:rPr>
          <w:rFonts w:ascii="Times New Roman" w:eastAsia="Times New Roman" w:hAnsi="Times New Roman" w:cs="Times New Roman"/>
          <w:sz w:val="24"/>
          <w:szCs w:val="24"/>
          <w:lang w:val="en-US"/>
        </w:rPr>
        <w:t>. McGraw-Hill Higher Education.</w:t>
      </w:r>
    </w:p>
    <w:p w:rsidR="00B735FD" w:rsidRPr="00566261" w:rsidRDefault="00E83F3E" w:rsidP="00E83F3E">
      <w:pPr>
        <w:spacing w:line="480" w:lineRule="auto"/>
        <w:rPr>
          <w:rFonts w:ascii="Times New Roman" w:hAnsi="Times New Roman" w:cs="Times New Roman"/>
          <w:sz w:val="24"/>
          <w:szCs w:val="24"/>
          <w:lang w:val="en-ZA"/>
        </w:rPr>
      </w:pPr>
      <w:r w:rsidRPr="00E83F3E">
        <w:rPr>
          <w:rFonts w:ascii="Times New Roman" w:hAnsi="Times New Roman" w:cs="Times New Roman"/>
          <w:sz w:val="24"/>
          <w:szCs w:val="24"/>
          <w:lang w:val="en-ZA"/>
        </w:rPr>
        <w:t>Mankiw, N. G. (2014). Principles of macroeconomics. Cengage Learning.</w:t>
      </w:r>
    </w:p>
    <w:sectPr w:rsidR="00B735FD" w:rsidRPr="00566261" w:rsidSect="0044464A">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A0" w:rsidRDefault="00911EA0" w:rsidP="00566261">
      <w:pPr>
        <w:spacing w:after="0" w:line="240" w:lineRule="auto"/>
      </w:pPr>
      <w:r>
        <w:separator/>
      </w:r>
    </w:p>
  </w:endnote>
  <w:endnote w:type="continuationSeparator" w:id="0">
    <w:p w:rsidR="00911EA0" w:rsidRDefault="00911EA0" w:rsidP="0056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A0" w:rsidRDefault="00911EA0" w:rsidP="00566261">
      <w:pPr>
        <w:spacing w:after="0" w:line="240" w:lineRule="auto"/>
      </w:pPr>
      <w:r>
        <w:separator/>
      </w:r>
    </w:p>
  </w:footnote>
  <w:footnote w:type="continuationSeparator" w:id="0">
    <w:p w:rsidR="00911EA0" w:rsidRDefault="00911EA0" w:rsidP="0056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0347972"/>
      <w:docPartObj>
        <w:docPartGallery w:val="Page Numbers (Top of Page)"/>
        <w:docPartUnique/>
      </w:docPartObj>
    </w:sdtPr>
    <w:sdtEndPr>
      <w:rPr>
        <w:rFonts w:asciiTheme="minorHAnsi" w:hAnsiTheme="minorHAnsi" w:cstheme="minorBidi"/>
        <w:noProof/>
        <w:sz w:val="22"/>
        <w:szCs w:val="22"/>
      </w:rPr>
    </w:sdtEndPr>
    <w:sdtContent>
      <w:p w:rsidR="00566261" w:rsidRDefault="00566261">
        <w:pPr>
          <w:pStyle w:val="Header"/>
          <w:jc w:val="right"/>
        </w:pPr>
        <w:r w:rsidRPr="00566261">
          <w:rPr>
            <w:rFonts w:ascii="Times New Roman" w:hAnsi="Times New Roman" w:cs="Times New Roman"/>
            <w:sz w:val="24"/>
            <w:szCs w:val="24"/>
          </w:rPr>
          <w:t>DEMAND AND SUPPLY</w:t>
        </w:r>
        <w:r>
          <w:rPr>
            <w:rFonts w:ascii="Times New Roman" w:hAnsi="Times New Roman" w:cs="Times New Roman"/>
            <w:sz w:val="24"/>
            <w:szCs w:val="24"/>
          </w:rPr>
          <w:t xml:space="preserve">                                                                                                         </w:t>
        </w:r>
        <w:r w:rsidRPr="00566261">
          <w:rPr>
            <w:rFonts w:ascii="Times New Roman" w:hAnsi="Times New Roman" w:cs="Times New Roman"/>
            <w:sz w:val="24"/>
            <w:szCs w:val="24"/>
          </w:rPr>
          <w:fldChar w:fldCharType="begin"/>
        </w:r>
        <w:r w:rsidRPr="00566261">
          <w:rPr>
            <w:rFonts w:ascii="Times New Roman" w:hAnsi="Times New Roman" w:cs="Times New Roman"/>
            <w:sz w:val="24"/>
            <w:szCs w:val="24"/>
          </w:rPr>
          <w:instrText xml:space="preserve"> PAGE   \* MERGEFORMAT </w:instrText>
        </w:r>
        <w:r w:rsidRPr="00566261">
          <w:rPr>
            <w:rFonts w:ascii="Times New Roman" w:hAnsi="Times New Roman" w:cs="Times New Roman"/>
            <w:sz w:val="24"/>
            <w:szCs w:val="24"/>
          </w:rPr>
          <w:fldChar w:fldCharType="separate"/>
        </w:r>
        <w:r w:rsidR="0044464A">
          <w:rPr>
            <w:rFonts w:ascii="Times New Roman" w:hAnsi="Times New Roman" w:cs="Times New Roman"/>
            <w:noProof/>
            <w:sz w:val="24"/>
            <w:szCs w:val="24"/>
          </w:rPr>
          <w:t>3</w:t>
        </w:r>
        <w:r w:rsidRPr="00566261">
          <w:rPr>
            <w:rFonts w:ascii="Times New Roman" w:hAnsi="Times New Roman" w:cs="Times New Roman"/>
            <w:noProof/>
            <w:sz w:val="24"/>
            <w:szCs w:val="24"/>
          </w:rPr>
          <w:fldChar w:fldCharType="end"/>
        </w:r>
      </w:p>
    </w:sdtContent>
  </w:sdt>
  <w:p w:rsidR="00566261" w:rsidRDefault="00566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61" w:rsidRPr="00566261" w:rsidRDefault="00566261">
    <w:pPr>
      <w:pStyle w:val="Header"/>
      <w:rPr>
        <w:rFonts w:ascii="Times New Roman" w:hAnsi="Times New Roman" w:cs="Times New Roman"/>
        <w:sz w:val="24"/>
        <w:szCs w:val="24"/>
      </w:rPr>
    </w:pPr>
    <w:r w:rsidRPr="00566261">
      <w:rPr>
        <w:rFonts w:ascii="Times New Roman" w:hAnsi="Times New Roman" w:cs="Times New Roman"/>
        <w:sz w:val="24"/>
        <w:szCs w:val="24"/>
      </w:rPr>
      <w:t>Running head: DEMAND AND SUPPLY</w:t>
    </w:r>
    <w:r>
      <w:rPr>
        <w:rFonts w:ascii="Times New Roman" w:hAnsi="Times New Roman" w:cs="Times New Roman"/>
        <w:sz w:val="24"/>
        <w:szCs w:val="24"/>
      </w:rPr>
      <w:t xml:space="preserve">                                 </w:t>
    </w:r>
    <w:r w:rsidRPr="00566261">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MrYwNTE1NDYzMDBR0lEKTi0uzszPAykwrAUArs95siwAAAA="/>
  </w:docVars>
  <w:rsids>
    <w:rsidRoot w:val="00C355E0"/>
    <w:rsid w:val="000B5FBB"/>
    <w:rsid w:val="0010313D"/>
    <w:rsid w:val="00147C6C"/>
    <w:rsid w:val="002A2CDD"/>
    <w:rsid w:val="0044464A"/>
    <w:rsid w:val="005269BB"/>
    <w:rsid w:val="00566261"/>
    <w:rsid w:val="005E1A8B"/>
    <w:rsid w:val="00677DA7"/>
    <w:rsid w:val="00753E62"/>
    <w:rsid w:val="00812B7D"/>
    <w:rsid w:val="008860B0"/>
    <w:rsid w:val="00911EA0"/>
    <w:rsid w:val="00A33EDB"/>
    <w:rsid w:val="00AC1380"/>
    <w:rsid w:val="00B735FD"/>
    <w:rsid w:val="00BF7A54"/>
    <w:rsid w:val="00C1481C"/>
    <w:rsid w:val="00C355E0"/>
    <w:rsid w:val="00CC0076"/>
    <w:rsid w:val="00E45BC9"/>
    <w:rsid w:val="00E54663"/>
    <w:rsid w:val="00E83F3E"/>
    <w:rsid w:val="00EC13DA"/>
    <w:rsid w:val="00F7193E"/>
    <w:rsid w:val="00F8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E153"/>
  <w15:chartTrackingRefBased/>
  <w15:docId w15:val="{FBC56936-A4EC-4658-AF3D-1FBF2517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61"/>
  </w:style>
  <w:style w:type="paragraph" w:styleId="Footer">
    <w:name w:val="footer"/>
    <w:basedOn w:val="Normal"/>
    <w:link w:val="FooterChar"/>
    <w:uiPriority w:val="99"/>
    <w:unhideWhenUsed/>
    <w:rsid w:val="0056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4316">
      <w:bodyDiv w:val="1"/>
      <w:marLeft w:val="0"/>
      <w:marRight w:val="0"/>
      <w:marTop w:val="0"/>
      <w:marBottom w:val="0"/>
      <w:divBdr>
        <w:top w:val="none" w:sz="0" w:space="0" w:color="auto"/>
        <w:left w:val="none" w:sz="0" w:space="0" w:color="auto"/>
        <w:bottom w:val="none" w:sz="0" w:space="0" w:color="auto"/>
        <w:right w:val="none" w:sz="0" w:space="0" w:color="auto"/>
      </w:divBdr>
      <w:divsChild>
        <w:div w:id="169603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muiruri\Desktop\Simon\Chart%20-%20Cop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muiruri\Desktop\Simon\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a:ea typeface="Arial"/>
                <a:cs typeface="Arial"/>
              </a:defRPr>
            </a:pPr>
            <a:r>
              <a:rPr lang="en-US" sz="1200">
                <a:latin typeface="+mn-lt"/>
              </a:rPr>
              <a:t>Demand</a:t>
            </a:r>
            <a:r>
              <a:rPr lang="en-US" sz="1200" baseline="0">
                <a:latin typeface="+mn-lt"/>
              </a:rPr>
              <a:t> and supply curve</a:t>
            </a:r>
            <a:endParaRPr lang="en-US" sz="1200">
              <a:latin typeface="+mn-lt"/>
            </a:endParaRPr>
          </a:p>
        </c:rich>
      </c:tx>
      <c:layout>
        <c:manualLayout>
          <c:xMode val="edge"/>
          <c:yMode val="edge"/>
          <c:x val="0.34188845941196155"/>
          <c:y val="2.8756898085913508E-2"/>
        </c:manualLayout>
      </c:layout>
      <c:overlay val="0"/>
      <c:spPr>
        <a:noFill/>
        <a:ln w="25400">
          <a:noFill/>
        </a:ln>
      </c:spPr>
    </c:title>
    <c:autoTitleDeleted val="0"/>
    <c:plotArea>
      <c:layout>
        <c:manualLayout>
          <c:layoutTarget val="inner"/>
          <c:xMode val="edge"/>
          <c:yMode val="edge"/>
          <c:x val="0.11629489885840991"/>
          <c:y val="0.17784757532120171"/>
          <c:w val="0.63749165591877555"/>
          <c:h val="0.69853325351874873"/>
        </c:manualLayout>
      </c:layout>
      <c:lineChart>
        <c:grouping val="standard"/>
        <c:varyColors val="0"/>
        <c:ser>
          <c:idx val="0"/>
          <c:order val="0"/>
          <c:tx>
            <c:strRef>
              <c:f>'Demand and supply'!$A$3</c:f>
              <c:strCache>
                <c:ptCount val="1"/>
                <c:pt idx="0">
                  <c:v>Demand</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'Demand and supply'!$B$3:$M$3</c:f>
              <c:numCache>
                <c:formatCode>_(* #,##0_);_(* \(#,##0\);_(* "-"??_);_(@_)</c:formatCode>
                <c:ptCount val="12"/>
                <c:pt idx="0">
                  <c:v>4000</c:v>
                </c:pt>
                <c:pt idx="1">
                  <c:v>5000</c:v>
                </c:pt>
                <c:pt idx="2">
                  <c:v>6000</c:v>
                </c:pt>
                <c:pt idx="3">
                  <c:v>7000</c:v>
                </c:pt>
                <c:pt idx="4">
                  <c:v>8000</c:v>
                </c:pt>
                <c:pt idx="5">
                  <c:v>9000</c:v>
                </c:pt>
                <c:pt idx="6">
                  <c:v>10000</c:v>
                </c:pt>
                <c:pt idx="7">
                  <c:v>11000</c:v>
                </c:pt>
                <c:pt idx="8">
                  <c:v>12000</c:v>
                </c:pt>
                <c:pt idx="9">
                  <c:v>13000</c:v>
                </c:pt>
                <c:pt idx="10">
                  <c:v>14000</c:v>
                </c:pt>
                <c:pt idx="11">
                  <c:v>15000</c:v>
                </c:pt>
              </c:numCache>
            </c:numRef>
          </c:val>
          <c:smooth val="0"/>
          <c:extLst>
            <c:ext xmlns:c16="http://schemas.microsoft.com/office/drawing/2014/chart" uri="{C3380CC4-5D6E-409C-BE32-E72D297353CC}">
              <c16:uniqueId val="{00000000-7885-4F48-91C3-B332EA425E79}"/>
            </c:ext>
          </c:extLst>
        </c:ser>
        <c:ser>
          <c:idx val="1"/>
          <c:order val="1"/>
          <c:tx>
            <c:strRef>
              <c:f>'Demand and supply'!$A$4</c:f>
              <c:strCache>
                <c:ptCount val="1"/>
                <c:pt idx="0">
                  <c:v>Supply</c:v>
                </c:pt>
              </c:strCache>
            </c:strRef>
          </c:tx>
          <c:val>
            <c:numRef>
              <c:f>'Demand and supply'!$B$4:$M$4</c:f>
              <c:numCache>
                <c:formatCode>_(* #,##0_);_(* \(#,##0\);_(* "-"??_);_(@_)</c:formatCode>
                <c:ptCount val="12"/>
                <c:pt idx="0">
                  <c:v>10000</c:v>
                </c:pt>
                <c:pt idx="1">
                  <c:v>9500</c:v>
                </c:pt>
                <c:pt idx="2">
                  <c:v>9000</c:v>
                </c:pt>
                <c:pt idx="3">
                  <c:v>8500</c:v>
                </c:pt>
                <c:pt idx="4">
                  <c:v>8000</c:v>
                </c:pt>
                <c:pt idx="5">
                  <c:v>7500</c:v>
                </c:pt>
                <c:pt idx="6">
                  <c:v>7000</c:v>
                </c:pt>
                <c:pt idx="7">
                  <c:v>6500</c:v>
                </c:pt>
                <c:pt idx="8">
                  <c:v>6000</c:v>
                </c:pt>
                <c:pt idx="9">
                  <c:v>5500</c:v>
                </c:pt>
                <c:pt idx="10">
                  <c:v>5000</c:v>
                </c:pt>
                <c:pt idx="11">
                  <c:v>4500</c:v>
                </c:pt>
              </c:numCache>
            </c:numRef>
          </c:val>
          <c:smooth val="0"/>
          <c:extLst>
            <c:ext xmlns:c16="http://schemas.microsoft.com/office/drawing/2014/chart" uri="{C3380CC4-5D6E-409C-BE32-E72D297353CC}">
              <c16:uniqueId val="{00000001-7885-4F48-91C3-B332EA425E79}"/>
            </c:ext>
          </c:extLst>
        </c:ser>
        <c:ser>
          <c:idx val="2"/>
          <c:order val="2"/>
          <c:tx>
            <c:strRef>
              <c:f>'Demand and supply'!$A$5</c:f>
              <c:strCache>
                <c:ptCount val="1"/>
                <c:pt idx="0">
                  <c:v>Price in USD</c:v>
                </c:pt>
              </c:strCache>
            </c:strRef>
          </c:tx>
          <c:val>
            <c:numRef>
              <c:f>'Demand and supply'!$B$5:$M$5</c:f>
              <c:numCache>
                <c:formatCode>General</c:formatCode>
                <c:ptCount val="12"/>
                <c:pt idx="0">
                  <c:v>18</c:v>
                </c:pt>
                <c:pt idx="1">
                  <c:v>16</c:v>
                </c:pt>
                <c:pt idx="2">
                  <c:v>14</c:v>
                </c:pt>
                <c:pt idx="3">
                  <c:v>12</c:v>
                </c:pt>
                <c:pt idx="4">
                  <c:v>10</c:v>
                </c:pt>
                <c:pt idx="5">
                  <c:v>9</c:v>
                </c:pt>
                <c:pt idx="6">
                  <c:v>8</c:v>
                </c:pt>
                <c:pt idx="7">
                  <c:v>7</c:v>
                </c:pt>
                <c:pt idx="8">
                  <c:v>6</c:v>
                </c:pt>
                <c:pt idx="9">
                  <c:v>5</c:v>
                </c:pt>
                <c:pt idx="10">
                  <c:v>4</c:v>
                </c:pt>
                <c:pt idx="11">
                  <c:v>2</c:v>
                </c:pt>
              </c:numCache>
            </c:numRef>
          </c:val>
          <c:smooth val="0"/>
          <c:extLst>
            <c:ext xmlns:c16="http://schemas.microsoft.com/office/drawing/2014/chart" uri="{C3380CC4-5D6E-409C-BE32-E72D297353CC}">
              <c16:uniqueId val="{00000002-7885-4F48-91C3-B332EA425E79}"/>
            </c:ext>
          </c:extLst>
        </c:ser>
        <c:dLbls>
          <c:showLegendKey val="0"/>
          <c:showVal val="0"/>
          <c:showCatName val="0"/>
          <c:showSerName val="0"/>
          <c:showPercent val="0"/>
          <c:showBubbleSize val="0"/>
        </c:dLbls>
        <c:marker val="1"/>
        <c:smooth val="0"/>
        <c:axId val="643619776"/>
        <c:axId val="643616248"/>
      </c:lineChart>
      <c:catAx>
        <c:axId val="643619776"/>
        <c:scaling>
          <c:orientation val="minMax"/>
        </c:scaling>
        <c:delete val="1"/>
        <c:axPos val="b"/>
        <c:title>
          <c:tx>
            <c:rich>
              <a:bodyPr/>
              <a:lstStyle/>
              <a:p>
                <a:pPr>
                  <a:defRPr/>
                </a:pPr>
                <a:r>
                  <a:rPr lang="en-GB"/>
                  <a:t>Price</a:t>
                </a:r>
                <a:r>
                  <a:rPr lang="en-GB" baseline="0"/>
                  <a:t> in </a:t>
                </a:r>
                <a:r>
                  <a:rPr lang="en-GB" sz="1000" baseline="0"/>
                  <a:t>USD</a:t>
                </a:r>
                <a:endParaRPr lang="en-GB" sz="1000"/>
              </a:p>
            </c:rich>
          </c:tx>
          <c:layout>
            <c:manualLayout>
              <c:xMode val="edge"/>
              <c:yMode val="edge"/>
              <c:x val="0.32173109704074493"/>
              <c:y val="0.92893571899336336"/>
            </c:manualLayout>
          </c:layout>
          <c:overlay val="0"/>
        </c:title>
        <c:numFmt formatCode="General" sourceLinked="1"/>
        <c:majorTickMark val="out"/>
        <c:minorTickMark val="none"/>
        <c:tickLblPos val="nextTo"/>
        <c:crossAx val="643616248"/>
        <c:crosses val="autoZero"/>
        <c:auto val="1"/>
        <c:lblAlgn val="ctr"/>
        <c:lblOffset val="100"/>
        <c:tickLblSkip val="1"/>
        <c:tickMarkSkip val="1"/>
        <c:noMultiLvlLbl val="1"/>
      </c:catAx>
      <c:valAx>
        <c:axId val="643616248"/>
        <c:scaling>
          <c:orientation val="minMax"/>
        </c:scaling>
        <c:delete val="0"/>
        <c:axPos val="l"/>
        <c:majorGridlines>
          <c:spPr>
            <a:ln w="3175">
              <a:solidFill>
                <a:srgbClr val="000000"/>
              </a:solidFill>
              <a:prstDash val="solid"/>
            </a:ln>
          </c:spPr>
        </c:majorGridlines>
        <c:title>
          <c:tx>
            <c:rich>
              <a:bodyPr/>
              <a:lstStyle/>
              <a:p>
                <a:pPr>
                  <a:defRPr/>
                </a:pPr>
                <a:r>
                  <a:rPr lang="en-GB"/>
                  <a:t>Quantity</a:t>
                </a:r>
              </a:p>
            </c:rich>
          </c:tx>
          <c:overlay val="0"/>
        </c:title>
        <c:numFmt formatCode="_(* #,##0_);_(* \(#,##0\);_(* &quot;-&quot;??_);_(@_)"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43619776"/>
        <c:crosses val="autoZero"/>
        <c:crossBetween val="between"/>
      </c:valAx>
      <c:spPr>
        <a:noFill/>
        <a:ln>
          <a:solidFill>
            <a:schemeClr val="tx2">
              <a:lumMod val="60000"/>
              <a:lumOff val="40000"/>
            </a:schemeClr>
          </a:solidFill>
        </a:ln>
        <a:effectLst>
          <a:outerShdw blurRad="63500" dist="38100" algn="l" rotWithShape="0">
            <a:schemeClr val="accent6">
              <a:lumMod val="60000"/>
              <a:lumOff val="40000"/>
              <a:alpha val="40000"/>
            </a:schemeClr>
          </a:outerShdw>
        </a:effectLst>
      </c:spPr>
    </c:plotArea>
    <c:legend>
      <c:legendPos val="r"/>
      <c:legendEntry>
        <c:idx val="2"/>
        <c:delete val="1"/>
      </c:legendEntry>
      <c:layout>
        <c:manualLayout>
          <c:xMode val="edge"/>
          <c:yMode val="edge"/>
          <c:x val="0.79321506828296362"/>
          <c:y val="0.27614481119588175"/>
          <c:w val="0.19943852432317791"/>
          <c:h val="0.30899238167280224"/>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3175">
      <a:solidFill>
        <a:srgbClr val="000000"/>
      </a:solidFill>
      <a:prstDash val="solid"/>
    </a:ln>
    <a:effectLst>
      <a:outerShdw blurRad="50800" dist="50800" dir="5400000" algn="ctr" rotWithShape="0">
        <a:schemeClr val="bg1"/>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a:ea typeface="Arial"/>
                <a:cs typeface="Arial"/>
              </a:defRPr>
            </a:pPr>
            <a:r>
              <a:rPr lang="en-US" sz="1200">
                <a:latin typeface="+mn-lt"/>
              </a:rPr>
              <a:t>Demand</a:t>
            </a:r>
            <a:r>
              <a:rPr lang="en-US" sz="1200" baseline="0">
                <a:latin typeface="+mn-lt"/>
              </a:rPr>
              <a:t> and supply curve</a:t>
            </a:r>
            <a:endParaRPr lang="en-US" sz="1200">
              <a:latin typeface="+mn-lt"/>
            </a:endParaRPr>
          </a:p>
        </c:rich>
      </c:tx>
      <c:layout>
        <c:manualLayout>
          <c:xMode val="edge"/>
          <c:yMode val="edge"/>
          <c:x val="0.34188845941196155"/>
          <c:y val="2.8756898085913508E-2"/>
        </c:manualLayout>
      </c:layout>
      <c:overlay val="0"/>
      <c:spPr>
        <a:noFill/>
        <a:ln w="25400">
          <a:noFill/>
        </a:ln>
      </c:spPr>
    </c:title>
    <c:autoTitleDeleted val="0"/>
    <c:plotArea>
      <c:layout>
        <c:manualLayout>
          <c:layoutTarget val="inner"/>
          <c:xMode val="edge"/>
          <c:yMode val="edge"/>
          <c:x val="0.12256567620890525"/>
          <c:y val="0.17215596738351263"/>
          <c:w val="0.63749165591877555"/>
          <c:h val="0.69853325351874873"/>
        </c:manualLayout>
      </c:layout>
      <c:lineChart>
        <c:grouping val="standard"/>
        <c:varyColors val="0"/>
        <c:ser>
          <c:idx val="0"/>
          <c:order val="0"/>
          <c:tx>
            <c:strRef>
              <c:f>'Demand and supply'!$A$1</c:f>
              <c:strCache>
                <c:ptCount val="1"/>
                <c:pt idx="0">
                  <c:v>Demand 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val>
            <c:numRef>
              <c:f>'Demand and supply'!$B$1:$M$1</c:f>
              <c:numCache>
                <c:formatCode>_(* #,##0_);_(* \(#,##0\);_(* "-"??_);_(@_)</c:formatCode>
                <c:ptCount val="12"/>
                <c:pt idx="0">
                  <c:v>8000</c:v>
                </c:pt>
                <c:pt idx="1">
                  <c:v>10000</c:v>
                </c:pt>
                <c:pt idx="2">
                  <c:v>12000</c:v>
                </c:pt>
                <c:pt idx="3">
                  <c:v>14000</c:v>
                </c:pt>
                <c:pt idx="4">
                  <c:v>16000</c:v>
                </c:pt>
                <c:pt idx="5">
                  <c:v>18000</c:v>
                </c:pt>
                <c:pt idx="6">
                  <c:v>20000</c:v>
                </c:pt>
                <c:pt idx="7">
                  <c:v>22000</c:v>
                </c:pt>
                <c:pt idx="8">
                  <c:v>24000</c:v>
                </c:pt>
                <c:pt idx="9">
                  <c:v>26000</c:v>
                </c:pt>
                <c:pt idx="10">
                  <c:v>28000</c:v>
                </c:pt>
                <c:pt idx="11">
                  <c:v>30000</c:v>
                </c:pt>
              </c:numCache>
            </c:numRef>
          </c:val>
          <c:smooth val="0"/>
          <c:extLst>
            <c:ext xmlns:c16="http://schemas.microsoft.com/office/drawing/2014/chart" uri="{C3380CC4-5D6E-409C-BE32-E72D297353CC}">
              <c16:uniqueId val="{00000000-46ED-4093-AB03-089ACE7C9AE4}"/>
            </c:ext>
          </c:extLst>
        </c:ser>
        <c:ser>
          <c:idx val="1"/>
          <c:order val="1"/>
          <c:tx>
            <c:strRef>
              <c:f>'Demand and supply'!$A$2</c:f>
              <c:strCache>
                <c:ptCount val="1"/>
                <c:pt idx="0">
                  <c:v>Demand</c:v>
                </c:pt>
              </c:strCache>
            </c:strRef>
          </c:tx>
          <c:val>
            <c:numRef>
              <c:f>'Demand and supply'!$B$2:$M$2</c:f>
              <c:numCache>
                <c:formatCode>_(* #,##0_);_(* \(#,##0\);_(* "-"??_);_(@_)</c:formatCode>
                <c:ptCount val="12"/>
                <c:pt idx="0">
                  <c:v>4000</c:v>
                </c:pt>
                <c:pt idx="1">
                  <c:v>5000</c:v>
                </c:pt>
                <c:pt idx="2">
                  <c:v>6000</c:v>
                </c:pt>
                <c:pt idx="3">
                  <c:v>7000</c:v>
                </c:pt>
                <c:pt idx="4">
                  <c:v>8000</c:v>
                </c:pt>
                <c:pt idx="5">
                  <c:v>9000</c:v>
                </c:pt>
                <c:pt idx="6">
                  <c:v>10000</c:v>
                </c:pt>
                <c:pt idx="7">
                  <c:v>11000</c:v>
                </c:pt>
                <c:pt idx="8">
                  <c:v>12000</c:v>
                </c:pt>
                <c:pt idx="9">
                  <c:v>13000</c:v>
                </c:pt>
                <c:pt idx="10">
                  <c:v>14000</c:v>
                </c:pt>
                <c:pt idx="11">
                  <c:v>15000</c:v>
                </c:pt>
              </c:numCache>
            </c:numRef>
          </c:val>
          <c:smooth val="0"/>
          <c:extLst>
            <c:ext xmlns:c16="http://schemas.microsoft.com/office/drawing/2014/chart" uri="{C3380CC4-5D6E-409C-BE32-E72D297353CC}">
              <c16:uniqueId val="{00000001-46ED-4093-AB03-089ACE7C9AE4}"/>
            </c:ext>
          </c:extLst>
        </c:ser>
        <c:ser>
          <c:idx val="2"/>
          <c:order val="2"/>
          <c:tx>
            <c:strRef>
              <c:f>'Demand and supply'!$A$3</c:f>
              <c:strCache>
                <c:ptCount val="1"/>
                <c:pt idx="0">
                  <c:v>Supply</c:v>
                </c:pt>
              </c:strCache>
            </c:strRef>
          </c:tx>
          <c:val>
            <c:numRef>
              <c:f>'Demand and supply'!$B$3:$M$3</c:f>
              <c:numCache>
                <c:formatCode>_(* #,##0_);_(* \(#,##0\);_(* "-"??_);_(@_)</c:formatCode>
                <c:ptCount val="12"/>
                <c:pt idx="0">
                  <c:v>10000</c:v>
                </c:pt>
                <c:pt idx="1">
                  <c:v>9500</c:v>
                </c:pt>
                <c:pt idx="2">
                  <c:v>9000</c:v>
                </c:pt>
                <c:pt idx="3">
                  <c:v>8500</c:v>
                </c:pt>
                <c:pt idx="4">
                  <c:v>8000</c:v>
                </c:pt>
                <c:pt idx="5">
                  <c:v>7500</c:v>
                </c:pt>
                <c:pt idx="6">
                  <c:v>7000</c:v>
                </c:pt>
                <c:pt idx="7">
                  <c:v>6500</c:v>
                </c:pt>
                <c:pt idx="8">
                  <c:v>6000</c:v>
                </c:pt>
                <c:pt idx="9">
                  <c:v>5500</c:v>
                </c:pt>
                <c:pt idx="10">
                  <c:v>5000</c:v>
                </c:pt>
                <c:pt idx="11">
                  <c:v>4500</c:v>
                </c:pt>
              </c:numCache>
            </c:numRef>
          </c:val>
          <c:smooth val="0"/>
          <c:extLst>
            <c:ext xmlns:c16="http://schemas.microsoft.com/office/drawing/2014/chart" uri="{C3380CC4-5D6E-409C-BE32-E72D297353CC}">
              <c16:uniqueId val="{00000002-46ED-4093-AB03-089ACE7C9AE4}"/>
            </c:ext>
          </c:extLst>
        </c:ser>
        <c:ser>
          <c:idx val="3"/>
          <c:order val="3"/>
          <c:tx>
            <c:strRef>
              <c:f>'Demand and supply'!$A$4</c:f>
              <c:strCache>
                <c:ptCount val="1"/>
                <c:pt idx="0">
                  <c:v>Price in USD</c:v>
                </c:pt>
              </c:strCache>
            </c:strRef>
          </c:tx>
          <c:val>
            <c:numRef>
              <c:f>'Demand and supply'!$B$4:$M$4</c:f>
              <c:numCache>
                <c:formatCode>General</c:formatCode>
                <c:ptCount val="12"/>
                <c:pt idx="0">
                  <c:v>18</c:v>
                </c:pt>
                <c:pt idx="1">
                  <c:v>16</c:v>
                </c:pt>
                <c:pt idx="2">
                  <c:v>14</c:v>
                </c:pt>
                <c:pt idx="3">
                  <c:v>12</c:v>
                </c:pt>
                <c:pt idx="4">
                  <c:v>10</c:v>
                </c:pt>
                <c:pt idx="5">
                  <c:v>9</c:v>
                </c:pt>
                <c:pt idx="6">
                  <c:v>8</c:v>
                </c:pt>
                <c:pt idx="7">
                  <c:v>7</c:v>
                </c:pt>
                <c:pt idx="8">
                  <c:v>6</c:v>
                </c:pt>
                <c:pt idx="9">
                  <c:v>5</c:v>
                </c:pt>
                <c:pt idx="10">
                  <c:v>4</c:v>
                </c:pt>
                <c:pt idx="11">
                  <c:v>2</c:v>
                </c:pt>
              </c:numCache>
            </c:numRef>
          </c:val>
          <c:smooth val="0"/>
          <c:extLst>
            <c:ext xmlns:c16="http://schemas.microsoft.com/office/drawing/2014/chart" uri="{C3380CC4-5D6E-409C-BE32-E72D297353CC}">
              <c16:uniqueId val="{00000003-46ED-4093-AB03-089ACE7C9AE4}"/>
            </c:ext>
          </c:extLst>
        </c:ser>
        <c:dLbls>
          <c:showLegendKey val="0"/>
          <c:showVal val="0"/>
          <c:showCatName val="0"/>
          <c:showSerName val="0"/>
          <c:showPercent val="0"/>
          <c:showBubbleSize val="0"/>
        </c:dLbls>
        <c:marker val="1"/>
        <c:smooth val="0"/>
        <c:axId val="643621736"/>
        <c:axId val="643622128"/>
      </c:lineChart>
      <c:catAx>
        <c:axId val="643621736"/>
        <c:scaling>
          <c:orientation val="minMax"/>
        </c:scaling>
        <c:delete val="0"/>
        <c:axPos val="b"/>
        <c:title>
          <c:tx>
            <c:rich>
              <a:bodyPr/>
              <a:lstStyle/>
              <a:p>
                <a:pPr>
                  <a:defRPr/>
                </a:pPr>
                <a:r>
                  <a:rPr lang="en-GB" sz="900"/>
                  <a:t>Price</a:t>
                </a:r>
                <a:r>
                  <a:rPr lang="en-GB" sz="900" baseline="0"/>
                  <a:t> in USD</a:t>
                </a:r>
                <a:endParaRPr lang="en-GB" sz="900"/>
              </a:p>
            </c:rich>
          </c:tx>
          <c:layout>
            <c:manualLayout>
              <c:xMode val="edge"/>
              <c:yMode val="edge"/>
              <c:x val="0.36017160204412529"/>
              <c:y val="0.91901159198870797"/>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43622128"/>
        <c:crosses val="autoZero"/>
        <c:auto val="1"/>
        <c:lblAlgn val="ctr"/>
        <c:lblOffset val="100"/>
        <c:tickLblSkip val="1"/>
        <c:tickMarkSkip val="1"/>
        <c:noMultiLvlLbl val="1"/>
      </c:catAx>
      <c:valAx>
        <c:axId val="643622128"/>
        <c:scaling>
          <c:orientation val="minMax"/>
        </c:scaling>
        <c:delete val="0"/>
        <c:axPos val="l"/>
        <c:majorGridlines>
          <c:spPr>
            <a:ln w="3175">
              <a:solidFill>
                <a:srgbClr val="000000"/>
              </a:solidFill>
              <a:prstDash val="solid"/>
            </a:ln>
          </c:spPr>
        </c:majorGridlines>
        <c:title>
          <c:tx>
            <c:rich>
              <a:bodyPr/>
              <a:lstStyle/>
              <a:p>
                <a:pPr>
                  <a:defRPr/>
                </a:pPr>
                <a:r>
                  <a:rPr lang="en-GB"/>
                  <a:t>Quantity</a:t>
                </a:r>
              </a:p>
            </c:rich>
          </c:tx>
          <c:overlay val="0"/>
        </c:title>
        <c:numFmt formatCode="_(* #,##0_);_(* \(#,##0\);_(* &quot;-&quot;??_);_(@_)"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43621736"/>
        <c:crosses val="autoZero"/>
        <c:crossBetween val="between"/>
      </c:valAx>
      <c:spPr>
        <a:noFill/>
        <a:ln>
          <a:solidFill>
            <a:schemeClr val="tx2">
              <a:lumMod val="60000"/>
              <a:lumOff val="40000"/>
            </a:schemeClr>
          </a:solidFill>
        </a:ln>
        <a:effectLst>
          <a:outerShdw blurRad="63500" dist="38100" algn="l" rotWithShape="0">
            <a:schemeClr val="accent6">
              <a:lumMod val="60000"/>
              <a:lumOff val="40000"/>
              <a:alpha val="40000"/>
            </a:schemeClr>
          </a:outerShdw>
        </a:effectLst>
      </c:spPr>
    </c:plotArea>
    <c:legend>
      <c:legendPos val="r"/>
      <c:legendEntry>
        <c:idx val="2"/>
        <c:delete val="1"/>
      </c:legendEntry>
      <c:layout>
        <c:manualLayout>
          <c:xMode val="edge"/>
          <c:yMode val="edge"/>
          <c:x val="0.79321506828296362"/>
          <c:y val="0.27614481119588175"/>
          <c:w val="0.20312884388232766"/>
          <c:h val="0.20857494884740369"/>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3175">
      <a:solidFill>
        <a:srgbClr val="000000"/>
      </a:solidFill>
      <a:prstDash val="solid"/>
    </a:ln>
    <a:effectLst>
      <a:outerShdw blurRad="50800" dist="50800" dir="5400000" algn="ctr" rotWithShape="0">
        <a:schemeClr val="bg1"/>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0.36792</cdr:x>
      <cdr:y>0.55345</cdr:y>
    </cdr:from>
    <cdr:to>
      <cdr:x>0.40628</cdr:x>
      <cdr:y>0.67454</cdr:y>
    </cdr:to>
    <cdr:cxnSp macro="">
      <cdr:nvCxnSpPr>
        <cdr:cNvPr id="3" name="Straight Arrow Connector 2"/>
        <cdr:cNvCxnSpPr/>
      </cdr:nvCxnSpPr>
      <cdr:spPr>
        <a:xfrm xmlns:a="http://schemas.openxmlformats.org/drawingml/2006/main" flipH="1" flipV="1">
          <a:off x="2980536" y="2469833"/>
          <a:ext cx="310744" cy="5404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0.57639</cdr:x>
      <cdr:y>0.41115</cdr:y>
    </cdr:from>
    <cdr:to>
      <cdr:x>0.62058</cdr:x>
      <cdr:y>0.5928</cdr:y>
    </cdr:to>
    <cdr:cxnSp macro="">
      <cdr:nvCxnSpPr>
        <cdr:cNvPr id="8" name="Straight Arrow Connector 7"/>
        <cdr:cNvCxnSpPr/>
      </cdr:nvCxnSpPr>
      <cdr:spPr>
        <a:xfrm xmlns:a="http://schemas.openxmlformats.org/drawingml/2006/main" flipH="1" flipV="1">
          <a:off x="4669366" y="1834834"/>
          <a:ext cx="358031" cy="81063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Muiruri, Fraisher</dc:creator>
  <cp:keywords/>
  <dc:description/>
  <cp:lastModifiedBy>Celine</cp:lastModifiedBy>
  <cp:revision>3</cp:revision>
  <dcterms:created xsi:type="dcterms:W3CDTF">2021-09-15T06:56:00Z</dcterms:created>
  <dcterms:modified xsi:type="dcterms:W3CDTF">2021-09-15T06:57:00Z</dcterms:modified>
</cp:coreProperties>
</file>